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83459" w14:textId="77777777" w:rsidR="00340DAA" w:rsidRDefault="00340DAA" w:rsidP="00340DAA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303030"/>
          <w:sz w:val="27"/>
          <w:szCs w:val="27"/>
        </w:rPr>
      </w:pPr>
      <w:r>
        <w:rPr>
          <w:rFonts w:ascii="Arial" w:hAnsi="Arial" w:cs="Arial"/>
          <w:color w:val="303030"/>
          <w:sz w:val="27"/>
          <w:szCs w:val="27"/>
        </w:rPr>
        <w:t>Finanziamenti per </w:t>
      </w:r>
      <w:hyperlink r:id="rId4" w:tgtFrame="_blank" w:history="1">
        <w:r>
          <w:rPr>
            <w:rStyle w:val="Collegamentoipertestuale"/>
            <w:rFonts w:ascii="Arial" w:hAnsi="Arial" w:cs="Arial"/>
            <w:b/>
            <w:bCs/>
            <w:color w:val="FF5722"/>
            <w:sz w:val="27"/>
            <w:szCs w:val="27"/>
          </w:rPr>
          <w:t>startup</w:t>
        </w:r>
      </w:hyperlink>
      <w:r>
        <w:rPr>
          <w:rStyle w:val="Enfasigrassetto"/>
          <w:rFonts w:ascii="Arial" w:hAnsi="Arial" w:cs="Arial"/>
          <w:color w:val="303030"/>
          <w:sz w:val="27"/>
          <w:szCs w:val="27"/>
        </w:rPr>
        <w:t>, innovazione e</w:t>
      </w:r>
      <w:hyperlink r:id="rId5" w:tgtFrame="_blank" w:history="1">
        <w:r>
          <w:rPr>
            <w:rStyle w:val="Collegamentoipertestuale"/>
            <w:rFonts w:ascii="Arial" w:hAnsi="Arial" w:cs="Arial"/>
            <w:b/>
            <w:bCs/>
            <w:color w:val="FF5722"/>
            <w:sz w:val="27"/>
            <w:szCs w:val="27"/>
          </w:rPr>
          <w:t> venture capital</w:t>
        </w:r>
      </w:hyperlink>
      <w:r>
        <w:rPr>
          <w:rFonts w:ascii="Arial" w:hAnsi="Arial" w:cs="Arial"/>
          <w:color w:val="303030"/>
          <w:sz w:val="27"/>
          <w:szCs w:val="27"/>
        </w:rPr>
        <w:t>, 500 milioni di euro per un </w:t>
      </w:r>
      <w:hyperlink r:id="rId6" w:tgtFrame="_blank" w:history="1">
        <w:r>
          <w:rPr>
            <w:rStyle w:val="Enfasigrassetto"/>
            <w:rFonts w:ascii="Arial" w:hAnsi="Arial" w:cs="Arial"/>
            <w:color w:val="FF5722"/>
            <w:sz w:val="27"/>
            <w:szCs w:val="27"/>
          </w:rPr>
          <w:t>Fondo per il trasferimento tecnologico</w:t>
        </w:r>
      </w:hyperlink>
      <w:r>
        <w:rPr>
          <w:rFonts w:ascii="Arial" w:hAnsi="Arial" w:cs="Arial"/>
          <w:color w:val="303030"/>
          <w:sz w:val="27"/>
          <w:szCs w:val="27"/>
        </w:rPr>
        <w:t>, altri 20 milioni per un </w:t>
      </w:r>
      <w:r>
        <w:rPr>
          <w:rStyle w:val="Enfasigrassetto"/>
          <w:rFonts w:ascii="Arial" w:hAnsi="Arial" w:cs="Arial"/>
          <w:color w:val="303030"/>
          <w:sz w:val="27"/>
          <w:szCs w:val="27"/>
        </w:rPr>
        <w:t xml:space="preserve">Centro di innovazione </w:t>
      </w:r>
      <w:proofErr w:type="spellStart"/>
      <w:r>
        <w:rPr>
          <w:rStyle w:val="Enfasigrassetto"/>
          <w:rFonts w:ascii="Arial" w:hAnsi="Arial" w:cs="Arial"/>
          <w:color w:val="303030"/>
          <w:sz w:val="27"/>
          <w:szCs w:val="27"/>
        </w:rPr>
        <w:t>nell’automotive</w:t>
      </w:r>
      <w:proofErr w:type="spellEnd"/>
      <w:r>
        <w:rPr>
          <w:rStyle w:val="Enfasigrassetto"/>
          <w:rFonts w:ascii="Arial" w:hAnsi="Arial" w:cs="Arial"/>
          <w:color w:val="303030"/>
          <w:sz w:val="27"/>
          <w:szCs w:val="27"/>
        </w:rPr>
        <w:t> </w:t>
      </w:r>
      <w:r>
        <w:rPr>
          <w:rFonts w:ascii="Arial" w:hAnsi="Arial" w:cs="Arial"/>
          <w:color w:val="303030"/>
          <w:sz w:val="27"/>
          <w:szCs w:val="27"/>
        </w:rPr>
        <w:t>a Torino: sono alcuni degli elementi contenuti nel testo del </w:t>
      </w:r>
      <w:hyperlink r:id="rId7" w:tgtFrame="_blank" w:history="1">
        <w:r>
          <w:rPr>
            <w:rStyle w:val="Enfasigrassetto"/>
            <w:rFonts w:ascii="Arial" w:hAnsi="Arial" w:cs="Arial"/>
            <w:color w:val="FF5722"/>
            <w:sz w:val="27"/>
            <w:szCs w:val="27"/>
          </w:rPr>
          <w:t>decreto Rilancio</w:t>
        </w:r>
        <w:r>
          <w:rPr>
            <w:rStyle w:val="Collegamentoipertestuale"/>
            <w:rFonts w:ascii="Arial" w:hAnsi="Arial" w:cs="Arial"/>
            <w:color w:val="FF5722"/>
            <w:sz w:val="27"/>
            <w:szCs w:val="27"/>
          </w:rPr>
          <w:t>, presentato dal presidente del Consiglio Giuseppe Conte il</w:t>
        </w:r>
        <w:r>
          <w:rPr>
            <w:rStyle w:val="Enfasigrassetto"/>
            <w:rFonts w:ascii="Arial" w:hAnsi="Arial" w:cs="Arial"/>
            <w:color w:val="FF5722"/>
            <w:sz w:val="27"/>
            <w:szCs w:val="27"/>
          </w:rPr>
          <w:t> 13 maggio scorso </w:t>
        </w:r>
      </w:hyperlink>
      <w:r>
        <w:rPr>
          <w:rFonts w:ascii="Arial" w:hAnsi="Arial" w:cs="Arial"/>
          <w:color w:val="303030"/>
          <w:sz w:val="27"/>
          <w:szCs w:val="27"/>
        </w:rPr>
        <w:t>e pubblicato in Gazzetta Ufficiale nella notte tra il 19 e il 20 maggio 2020.</w:t>
      </w:r>
    </w:p>
    <w:p w14:paraId="656CEEC8" w14:textId="77777777" w:rsidR="00340DAA" w:rsidRDefault="00340DAA" w:rsidP="00340DAA">
      <w:pPr>
        <w:pStyle w:val="NormaleWeb"/>
        <w:shd w:val="clear" w:color="auto" w:fill="FFFFFF"/>
        <w:spacing w:before="0" w:beforeAutospacing="0" w:after="300" w:afterAutospacing="0"/>
        <w:rPr>
          <w:rFonts w:ascii="Arial" w:hAnsi="Arial" w:cs="Arial"/>
          <w:color w:val="303030"/>
          <w:sz w:val="27"/>
          <w:szCs w:val="27"/>
        </w:rPr>
      </w:pPr>
      <w:r>
        <w:rPr>
          <w:rFonts w:ascii="Arial" w:hAnsi="Arial" w:cs="Arial"/>
          <w:color w:val="303030"/>
          <w:sz w:val="27"/>
          <w:szCs w:val="27"/>
        </w:rPr>
        <w:t>Il testo, </w:t>
      </w:r>
      <w:r>
        <w:rPr>
          <w:rStyle w:val="Enfasigrassetto"/>
          <w:rFonts w:ascii="Arial" w:hAnsi="Arial" w:cs="Arial"/>
          <w:color w:val="303030"/>
          <w:sz w:val="27"/>
          <w:szCs w:val="27"/>
        </w:rPr>
        <w:t>in vigore a partire dal 20 maggio</w:t>
      </w:r>
      <w:r>
        <w:rPr>
          <w:rFonts w:ascii="Arial" w:hAnsi="Arial" w:cs="Arial"/>
          <w:color w:val="303030"/>
          <w:sz w:val="27"/>
          <w:szCs w:val="27"/>
        </w:rPr>
        <w:t>, prevede un insieme di risorse pari a </w:t>
      </w:r>
      <w:r>
        <w:rPr>
          <w:rStyle w:val="Enfasigrassetto"/>
          <w:rFonts w:ascii="Arial" w:hAnsi="Arial" w:cs="Arial"/>
          <w:color w:val="303030"/>
          <w:sz w:val="27"/>
          <w:szCs w:val="27"/>
        </w:rPr>
        <w:t>54,9 miliardi di euro </w:t>
      </w:r>
      <w:r>
        <w:rPr>
          <w:rFonts w:ascii="Arial" w:hAnsi="Arial" w:cs="Arial"/>
          <w:color w:val="303030"/>
          <w:sz w:val="27"/>
          <w:szCs w:val="27"/>
        </w:rPr>
        <w:t xml:space="preserve">per l’inizio della ripartenza economica in Italia dopo il </w:t>
      </w:r>
      <w:proofErr w:type="spellStart"/>
      <w:r>
        <w:rPr>
          <w:rFonts w:ascii="Arial" w:hAnsi="Arial" w:cs="Arial"/>
          <w:color w:val="303030"/>
          <w:sz w:val="27"/>
          <w:szCs w:val="27"/>
        </w:rPr>
        <w:t>lockdown</w:t>
      </w:r>
      <w:proofErr w:type="spellEnd"/>
      <w:r>
        <w:rPr>
          <w:rFonts w:ascii="Arial" w:hAnsi="Arial" w:cs="Arial"/>
          <w:color w:val="303030"/>
          <w:sz w:val="27"/>
          <w:szCs w:val="27"/>
        </w:rPr>
        <w:t xml:space="preserve"> e la crisi causata dalla </w:t>
      </w:r>
      <w:r>
        <w:rPr>
          <w:rStyle w:val="Enfasigrassetto"/>
          <w:rFonts w:ascii="Arial" w:hAnsi="Arial" w:cs="Arial"/>
          <w:color w:val="303030"/>
          <w:sz w:val="27"/>
          <w:szCs w:val="27"/>
        </w:rPr>
        <w:t>pandemia da coronavirus</w:t>
      </w:r>
      <w:r>
        <w:rPr>
          <w:rFonts w:ascii="Arial" w:hAnsi="Arial" w:cs="Arial"/>
          <w:color w:val="303030"/>
          <w:sz w:val="27"/>
          <w:szCs w:val="27"/>
        </w:rPr>
        <w:t>. </w:t>
      </w:r>
    </w:p>
    <w:p w14:paraId="24128CC4" w14:textId="52036324" w:rsidR="00EB3379" w:rsidRDefault="00340DAA">
      <w:pPr>
        <w:rPr>
          <w:rFonts w:ascii="Arial" w:hAnsi="Arial" w:cs="Arial"/>
          <w:color w:val="30303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03030"/>
          <w:sz w:val="27"/>
          <w:szCs w:val="27"/>
          <w:shd w:val="clear" w:color="auto" w:fill="FFFFFF"/>
        </w:rPr>
        <w:t>La parte che riguarda </w:t>
      </w:r>
      <w:hyperlink r:id="rId8" w:tgtFrame="_blank" w:history="1">
        <w:r>
          <w:rPr>
            <w:rStyle w:val="Enfasigrassetto"/>
            <w:rFonts w:ascii="Arial" w:hAnsi="Arial" w:cs="Arial"/>
            <w:color w:val="FF5722"/>
            <w:sz w:val="27"/>
            <w:szCs w:val="27"/>
            <w:shd w:val="clear" w:color="auto" w:fill="FFFFFF"/>
          </w:rPr>
          <w:t>startup e innovazione</w:t>
        </w:r>
      </w:hyperlink>
      <w:r>
        <w:rPr>
          <w:rFonts w:ascii="Arial" w:hAnsi="Arial" w:cs="Arial"/>
          <w:color w:val="303030"/>
          <w:sz w:val="27"/>
          <w:szCs w:val="27"/>
          <w:shd w:val="clear" w:color="auto" w:fill="FFFFFF"/>
        </w:rPr>
        <w:t> comprende: risorse aggiuntive pari a </w:t>
      </w:r>
      <w:r>
        <w:rPr>
          <w:rStyle w:val="Enfasigrassetto"/>
          <w:rFonts w:ascii="Arial" w:hAnsi="Arial" w:cs="Arial"/>
          <w:color w:val="303030"/>
          <w:sz w:val="27"/>
          <w:szCs w:val="27"/>
          <w:shd w:val="clear" w:color="auto" w:fill="FFFFFF"/>
        </w:rPr>
        <w:t>100 milioni</w:t>
      </w:r>
      <w:r>
        <w:rPr>
          <w:rFonts w:ascii="Arial" w:hAnsi="Arial" w:cs="Arial"/>
          <w:color w:val="303030"/>
          <w:sz w:val="27"/>
          <w:szCs w:val="27"/>
          <w:shd w:val="clear" w:color="auto" w:fill="FFFFFF"/>
        </w:rPr>
        <w:t> di euro al programma per finanziare per le </w:t>
      </w:r>
      <w:r>
        <w:rPr>
          <w:rStyle w:val="Enfasigrassetto"/>
          <w:rFonts w:ascii="Arial" w:hAnsi="Arial" w:cs="Arial"/>
          <w:color w:val="303030"/>
          <w:sz w:val="27"/>
          <w:szCs w:val="27"/>
          <w:shd w:val="clear" w:color="auto" w:fill="FFFFFF"/>
        </w:rPr>
        <w:t>startup innovative</w:t>
      </w:r>
      <w:r>
        <w:rPr>
          <w:rFonts w:ascii="Arial" w:hAnsi="Arial" w:cs="Arial"/>
          <w:color w:val="303030"/>
          <w:sz w:val="27"/>
          <w:szCs w:val="27"/>
          <w:shd w:val="clear" w:color="auto" w:fill="FFFFFF"/>
        </w:rPr>
        <w:t> nel 2020; </w:t>
      </w:r>
      <w:r>
        <w:rPr>
          <w:rStyle w:val="Enfasigrassetto"/>
          <w:rFonts w:ascii="Arial" w:hAnsi="Arial" w:cs="Arial"/>
          <w:color w:val="303030"/>
          <w:sz w:val="27"/>
          <w:szCs w:val="27"/>
          <w:shd w:val="clear" w:color="auto" w:fill="FFFFFF"/>
        </w:rPr>
        <w:t>10 milioni di euro</w:t>
      </w:r>
      <w:r>
        <w:rPr>
          <w:rFonts w:ascii="Arial" w:hAnsi="Arial" w:cs="Arial"/>
          <w:color w:val="303030"/>
          <w:sz w:val="27"/>
          <w:szCs w:val="27"/>
          <w:shd w:val="clear" w:color="auto" w:fill="FFFFFF"/>
        </w:rPr>
        <w:t> per acquisire servizi da incubatori, acceleratori ecc.; ulteriori </w:t>
      </w:r>
      <w:r>
        <w:rPr>
          <w:rStyle w:val="Enfasigrassetto"/>
          <w:rFonts w:ascii="Arial" w:hAnsi="Arial" w:cs="Arial"/>
          <w:color w:val="303030"/>
          <w:sz w:val="27"/>
          <w:szCs w:val="27"/>
          <w:shd w:val="clear" w:color="auto" w:fill="FFFFFF"/>
        </w:rPr>
        <w:t>200 milioni di euro</w:t>
      </w:r>
      <w:r>
        <w:rPr>
          <w:rFonts w:ascii="Arial" w:hAnsi="Arial" w:cs="Arial"/>
          <w:color w:val="303030"/>
          <w:sz w:val="27"/>
          <w:szCs w:val="27"/>
          <w:shd w:val="clear" w:color="auto" w:fill="FFFFFF"/>
        </w:rPr>
        <w:t> per il 2020 </w:t>
      </w:r>
      <w:r>
        <w:rPr>
          <w:rFonts w:ascii="Arial" w:hAnsi="Arial" w:cs="Arial"/>
          <w:b/>
          <w:bCs/>
          <w:color w:val="303030"/>
          <w:sz w:val="27"/>
          <w:szCs w:val="27"/>
          <w:shd w:val="clear" w:color="auto" w:fill="FFFFFF"/>
        </w:rPr>
        <w:t>per il Fondo di sostegno al venture capital</w:t>
      </w:r>
      <w:r>
        <w:rPr>
          <w:rFonts w:ascii="Arial" w:hAnsi="Arial" w:cs="Arial"/>
          <w:color w:val="303030"/>
          <w:sz w:val="27"/>
          <w:szCs w:val="27"/>
          <w:shd w:val="clear" w:color="auto" w:fill="FFFFFF"/>
        </w:rPr>
        <w:t>; detrazione al </w:t>
      </w:r>
      <w:r>
        <w:rPr>
          <w:rStyle w:val="Enfasigrassetto"/>
          <w:rFonts w:ascii="Arial" w:hAnsi="Arial" w:cs="Arial"/>
          <w:color w:val="303030"/>
          <w:sz w:val="27"/>
          <w:szCs w:val="27"/>
          <w:shd w:val="clear" w:color="auto" w:fill="FFFFFF"/>
        </w:rPr>
        <w:t>50 per cento per investimenti nel capitale sociale di start</w:t>
      </w:r>
      <w:r>
        <w:rPr>
          <w:rStyle w:val="Enfasigrassetto"/>
          <w:rFonts w:ascii="Arial" w:hAnsi="Arial" w:cs="Arial"/>
          <w:color w:val="303030"/>
          <w:sz w:val="27"/>
          <w:szCs w:val="27"/>
          <w:shd w:val="clear" w:color="auto" w:fill="FFFFFF"/>
        </w:rPr>
        <w:softHyphen/>
        <w:t>up innovative</w:t>
      </w:r>
      <w:r>
        <w:rPr>
          <w:rFonts w:ascii="Arial" w:hAnsi="Arial" w:cs="Arial"/>
          <w:color w:val="303030"/>
          <w:sz w:val="27"/>
          <w:szCs w:val="27"/>
          <w:shd w:val="clear" w:color="auto" w:fill="FFFFFF"/>
        </w:rPr>
        <w:t> (idem per </w:t>
      </w:r>
      <w:r>
        <w:rPr>
          <w:rStyle w:val="Enfasigrassetto"/>
          <w:rFonts w:ascii="Arial" w:hAnsi="Arial" w:cs="Arial"/>
          <w:color w:val="303030"/>
          <w:sz w:val="27"/>
          <w:szCs w:val="27"/>
          <w:shd w:val="clear" w:color="auto" w:fill="FFFFFF"/>
        </w:rPr>
        <w:t>pmi innovative</w:t>
      </w:r>
      <w:r>
        <w:rPr>
          <w:rFonts w:ascii="Arial" w:hAnsi="Arial" w:cs="Arial"/>
          <w:color w:val="303030"/>
          <w:sz w:val="27"/>
          <w:szCs w:val="27"/>
          <w:shd w:val="clear" w:color="auto" w:fill="FFFFFF"/>
        </w:rPr>
        <w:t>); equiparazione delle startup a </w:t>
      </w:r>
      <w:r>
        <w:rPr>
          <w:rStyle w:val="Enfasigrassetto"/>
          <w:rFonts w:ascii="Arial" w:hAnsi="Arial" w:cs="Arial"/>
          <w:color w:val="303030"/>
          <w:sz w:val="27"/>
          <w:szCs w:val="27"/>
          <w:shd w:val="clear" w:color="auto" w:fill="FFFFFF"/>
        </w:rPr>
        <w:t>università e istituti di ricerca</w:t>
      </w:r>
      <w:r>
        <w:rPr>
          <w:rFonts w:ascii="Arial" w:hAnsi="Arial" w:cs="Arial"/>
          <w:color w:val="303030"/>
          <w:sz w:val="27"/>
          <w:szCs w:val="27"/>
          <w:shd w:val="clear" w:color="auto" w:fill="FFFFFF"/>
        </w:rPr>
        <w:t> per quanto riguarda le spese ammissibili;  altri </w:t>
      </w:r>
      <w:r>
        <w:rPr>
          <w:rStyle w:val="Enfasigrassetto"/>
          <w:rFonts w:ascii="Arial" w:hAnsi="Arial" w:cs="Arial"/>
          <w:color w:val="303030"/>
          <w:sz w:val="27"/>
          <w:szCs w:val="27"/>
          <w:shd w:val="clear" w:color="auto" w:fill="FFFFFF"/>
        </w:rPr>
        <w:t>200 milioni di euro</w:t>
      </w:r>
      <w:r>
        <w:rPr>
          <w:rFonts w:ascii="Arial" w:hAnsi="Arial" w:cs="Arial"/>
          <w:color w:val="303030"/>
          <w:sz w:val="27"/>
          <w:szCs w:val="27"/>
          <w:shd w:val="clear" w:color="auto" w:fill="FFFFFF"/>
        </w:rPr>
        <w:t> al </w:t>
      </w:r>
      <w:hyperlink r:id="rId9" w:tgtFrame="_blank" w:history="1">
        <w:r>
          <w:rPr>
            <w:rStyle w:val="Enfasigrassetto"/>
            <w:rFonts w:ascii="Arial" w:hAnsi="Arial" w:cs="Arial"/>
            <w:color w:val="FF5722"/>
            <w:sz w:val="27"/>
            <w:szCs w:val="27"/>
            <w:shd w:val="clear" w:color="auto" w:fill="FFFFFF"/>
          </w:rPr>
          <w:t>Fondo di garanzia</w:t>
        </w:r>
        <w:r>
          <w:rPr>
            <w:rStyle w:val="Collegamentoipertestuale"/>
            <w:rFonts w:ascii="Arial" w:hAnsi="Arial" w:cs="Arial"/>
            <w:color w:val="FF5722"/>
            <w:sz w:val="27"/>
            <w:szCs w:val="27"/>
            <w:shd w:val="clear" w:color="auto" w:fill="FFFFFF"/>
          </w:rPr>
          <w:t> per startup e pmi innovative</w:t>
        </w:r>
      </w:hyperlink>
      <w:r>
        <w:rPr>
          <w:rFonts w:ascii="Arial" w:hAnsi="Arial" w:cs="Arial"/>
          <w:color w:val="303030"/>
          <w:sz w:val="27"/>
          <w:szCs w:val="27"/>
          <w:shd w:val="clear" w:color="auto" w:fill="FFFFFF"/>
        </w:rPr>
        <w:t>, e l’istituzione di un </w:t>
      </w:r>
      <w:hyperlink r:id="rId10" w:tgtFrame="_blank" w:history="1">
        <w:r>
          <w:rPr>
            <w:rStyle w:val="Enfasigrassetto"/>
            <w:rFonts w:ascii="Arial" w:hAnsi="Arial" w:cs="Arial"/>
            <w:color w:val="FF5722"/>
            <w:sz w:val="27"/>
            <w:szCs w:val="27"/>
            <w:shd w:val="clear" w:color="auto" w:fill="FFFFFF"/>
          </w:rPr>
          <w:t>Fondo </w:t>
        </w:r>
        <w:r>
          <w:rPr>
            <w:rStyle w:val="Collegamentoipertestuale"/>
            <w:rFonts w:ascii="Arial" w:hAnsi="Arial" w:cs="Arial"/>
            <w:color w:val="FF5722"/>
            <w:sz w:val="27"/>
            <w:szCs w:val="27"/>
            <w:shd w:val="clear" w:color="auto" w:fill="FFFFFF"/>
          </w:rPr>
          <w:t>che, partendo da una dotazione di 4 milioni di euro, </w:t>
        </w:r>
        <w:r>
          <w:rPr>
            <w:rStyle w:val="Enfasigrassetto"/>
            <w:rFonts w:ascii="Arial" w:hAnsi="Arial" w:cs="Arial"/>
            <w:color w:val="FF5722"/>
            <w:sz w:val="27"/>
            <w:szCs w:val="27"/>
            <w:shd w:val="clear" w:color="auto" w:fill="FFFFFF"/>
          </w:rPr>
          <w:t>eroga contributi a fondo perduto</w:t>
        </w:r>
        <w:r>
          <w:rPr>
            <w:rStyle w:val="Collegamentoipertestuale"/>
            <w:rFonts w:ascii="Arial" w:hAnsi="Arial" w:cs="Arial"/>
            <w:color w:val="FF5722"/>
            <w:sz w:val="27"/>
            <w:szCs w:val="27"/>
            <w:shd w:val="clear" w:color="auto" w:fill="FFFFFF"/>
          </w:rPr>
          <w:t> per chi fa </w:t>
        </w:r>
        <w:r>
          <w:rPr>
            <w:rStyle w:val="Enfasigrassetto"/>
            <w:rFonts w:ascii="Arial" w:hAnsi="Arial" w:cs="Arial"/>
            <w:color w:val="FF5722"/>
            <w:sz w:val="27"/>
            <w:szCs w:val="27"/>
            <w:shd w:val="clear" w:color="auto" w:fill="FFFFFF"/>
          </w:rPr>
          <w:t>videogames</w:t>
        </w:r>
      </w:hyperlink>
      <w:r>
        <w:rPr>
          <w:rFonts w:ascii="Arial" w:hAnsi="Arial" w:cs="Arial"/>
          <w:color w:val="303030"/>
          <w:sz w:val="27"/>
          <w:szCs w:val="27"/>
          <w:shd w:val="clear" w:color="auto" w:fill="FFFFFF"/>
        </w:rPr>
        <w:t>.</w:t>
      </w:r>
    </w:p>
    <w:p w14:paraId="66FF3F0E" w14:textId="4A80F84C" w:rsidR="00340DAA" w:rsidRDefault="00340DAA">
      <w:r>
        <w:t>Art. 38 Rafforzamento dell'ecosistema delle start-up innovative</w:t>
      </w:r>
    </w:p>
    <w:p w14:paraId="50C24F4E" w14:textId="77777777" w:rsidR="00340DAA" w:rsidRDefault="00340DAA">
      <w:pPr>
        <w:rPr>
          <w:rFonts w:ascii="Arial" w:hAnsi="Arial" w:cs="Arial"/>
          <w:color w:val="303030"/>
          <w:sz w:val="27"/>
          <w:szCs w:val="27"/>
          <w:shd w:val="clear" w:color="auto" w:fill="FFFFFF"/>
        </w:rPr>
      </w:pPr>
    </w:p>
    <w:p w14:paraId="5DBCD13C" w14:textId="44E24567" w:rsidR="00340DAA" w:rsidRPr="00C65C14" w:rsidRDefault="00340DAA">
      <w:r>
        <w:rPr>
          <w:rFonts w:ascii="Arial" w:hAnsi="Arial" w:cs="Arial"/>
          <w:color w:val="303030"/>
          <w:sz w:val="27"/>
          <w:szCs w:val="27"/>
          <w:shd w:val="clear" w:color="auto" w:fill="FFFFFF"/>
        </w:rPr>
        <w:t xml:space="preserve">Risorse per </w:t>
      </w:r>
      <w:r w:rsidR="00C65C14">
        <w:rPr>
          <w:rFonts w:ascii="Arial" w:hAnsi="Arial" w:cs="Arial"/>
          <w:color w:val="303030"/>
          <w:sz w:val="27"/>
          <w:szCs w:val="27"/>
          <w:shd w:val="clear" w:color="auto" w:fill="FFFFFF"/>
        </w:rPr>
        <w:t xml:space="preserve">la </w:t>
      </w:r>
      <w:r>
        <w:rPr>
          <w:rFonts w:ascii="Arial" w:hAnsi="Arial" w:cs="Arial"/>
          <w:color w:val="303030"/>
          <w:sz w:val="27"/>
          <w:szCs w:val="27"/>
          <w:shd w:val="clear" w:color="auto" w:fill="FFFFFF"/>
        </w:rPr>
        <w:t>comunicazione e la promozione di imprese e startup innovative, finanziamenti agevolati per startup fino a un massimo di 1 milione di euro, investimento massimo detraibile su pmi innovative che sale a 300mila euro</w:t>
      </w:r>
      <w:r w:rsidR="00C65C14">
        <w:rPr>
          <w:rFonts w:ascii="Arial" w:hAnsi="Arial" w:cs="Arial"/>
          <w:color w:val="303030"/>
          <w:sz w:val="27"/>
          <w:szCs w:val="27"/>
          <w:shd w:val="clear" w:color="auto" w:fill="FFFFFF"/>
        </w:rPr>
        <w:t>, contributi a fondo perduto per startup della moda: sono alcuni dei provvedimenti e delle aggiunte inseriti all’ultimo momento nel</w:t>
      </w:r>
      <w:r w:rsidR="00C65C14">
        <w:rPr>
          <w:rFonts w:ascii="Arial" w:hAnsi="Arial" w:cs="Arial"/>
          <w:color w:val="303030"/>
          <w:sz w:val="27"/>
          <w:szCs w:val="27"/>
          <w:shd w:val="clear" w:color="auto" w:fill="FFFFFF"/>
        </w:rPr>
        <w:t> </w:t>
      </w:r>
      <w:hyperlink r:id="rId11" w:tgtFrame="_blank" w:history="1">
        <w:r w:rsidR="00C65C14">
          <w:rPr>
            <w:rStyle w:val="Enfasigrassetto"/>
            <w:rFonts w:ascii="Arial" w:hAnsi="Arial" w:cs="Arial"/>
            <w:color w:val="FF5722"/>
            <w:sz w:val="27"/>
            <w:szCs w:val="27"/>
            <w:shd w:val="clear" w:color="auto" w:fill="FFFFFF"/>
          </w:rPr>
          <w:t>Decreto Rilancio</w:t>
        </w:r>
      </w:hyperlink>
      <w:r w:rsidR="00C65C14">
        <w:rPr>
          <w:rFonts w:ascii="Arial" w:hAnsi="Arial" w:cs="Arial"/>
          <w:color w:val="303030"/>
          <w:sz w:val="27"/>
          <w:szCs w:val="27"/>
          <w:shd w:val="clear" w:color="auto" w:fill="FFFFFF"/>
        </w:rPr>
        <w:t>, che è stato convertito in legge in via definitiva dal Senato il 16 luglio 2020. </w:t>
      </w:r>
      <w:hyperlink r:id="rId12" w:tgtFrame="_blank" w:history="1">
        <w:r w:rsidR="00C65C14">
          <w:rPr>
            <w:rStyle w:val="Enfasigrassetto"/>
            <w:rFonts w:ascii="Arial" w:hAnsi="Arial" w:cs="Arial"/>
            <w:color w:val="FF5722"/>
            <w:sz w:val="27"/>
            <w:szCs w:val="27"/>
          </w:rPr>
          <w:t>P</w:t>
        </w:r>
        <w:r w:rsidR="00C65C14">
          <w:rPr>
            <w:rStyle w:val="Collegamentoipertestuale"/>
            <w:rFonts w:ascii="Arial" w:hAnsi="Arial" w:cs="Arial"/>
            <w:color w:val="FF5722"/>
            <w:sz w:val="27"/>
            <w:szCs w:val="27"/>
          </w:rPr>
          <w:t>resentato dal presidente del Consiglio Giuseppe Conte il</w:t>
        </w:r>
        <w:r w:rsidR="00C65C14">
          <w:rPr>
            <w:rStyle w:val="Enfasigrassetto"/>
            <w:rFonts w:ascii="Arial" w:hAnsi="Arial" w:cs="Arial"/>
            <w:color w:val="FF5722"/>
            <w:sz w:val="27"/>
            <w:szCs w:val="27"/>
          </w:rPr>
          <w:t> 13 maggio scorso</w:t>
        </w:r>
        <w:r w:rsidR="00C65C14">
          <w:rPr>
            <w:rStyle w:val="Enfasigrassetto"/>
            <w:rFonts w:ascii="Arial" w:hAnsi="Arial" w:cs="Arial"/>
            <w:color w:val="FF5722"/>
            <w:sz w:val="27"/>
            <w:szCs w:val="27"/>
          </w:rPr>
          <w:t>,</w:t>
        </w:r>
        <w:r w:rsidR="00C65C14">
          <w:rPr>
            <w:rStyle w:val="Enfasigrassetto"/>
            <w:rFonts w:ascii="Arial" w:hAnsi="Arial" w:cs="Arial"/>
            <w:color w:val="FF5722"/>
            <w:sz w:val="27"/>
            <w:szCs w:val="27"/>
          </w:rPr>
          <w:t> </w:t>
        </w:r>
      </w:hyperlink>
      <w:r w:rsidR="00C65C14">
        <w:rPr>
          <w:rFonts w:ascii="Arial" w:hAnsi="Arial" w:cs="Arial"/>
          <w:color w:val="303030"/>
          <w:sz w:val="27"/>
          <w:szCs w:val="27"/>
        </w:rPr>
        <w:t>e </w:t>
      </w:r>
      <w:hyperlink r:id="rId13" w:tgtFrame="_blank" w:history="1">
        <w:r w:rsidR="00C65C14">
          <w:rPr>
            <w:rStyle w:val="Enfasigrassetto"/>
            <w:rFonts w:ascii="Arial" w:hAnsi="Arial" w:cs="Arial"/>
            <w:color w:val="FF5722"/>
            <w:sz w:val="27"/>
            <w:szCs w:val="27"/>
          </w:rPr>
          <w:t>pubblicato in Gazzetta Ufficiale nella notte tra il 19 e il 20 maggio 2020</w:t>
        </w:r>
        <w:r w:rsidR="00C65C14">
          <w:rPr>
            <w:rStyle w:val="Enfasigrassetto"/>
            <w:rFonts w:ascii="Arial" w:hAnsi="Arial" w:cs="Arial"/>
            <w:color w:val="FF5722"/>
            <w:sz w:val="27"/>
            <w:szCs w:val="27"/>
          </w:rPr>
          <w:t>,</w:t>
        </w:r>
      </w:hyperlink>
      <w:r w:rsidR="00C65C14">
        <w:t xml:space="preserve"> la sua conversione in legge è stata</w:t>
      </w:r>
      <w:r w:rsidR="00C65C14">
        <w:rPr>
          <w:rFonts w:ascii="Arial" w:hAnsi="Arial" w:cs="Arial"/>
          <w:color w:val="303030"/>
          <w:sz w:val="27"/>
          <w:szCs w:val="27"/>
          <w:shd w:val="clear" w:color="auto" w:fill="FFFFFF"/>
        </w:rPr>
        <w:t xml:space="preserve"> approvat</w:t>
      </w:r>
      <w:r w:rsidR="00C65C14">
        <w:rPr>
          <w:rFonts w:ascii="Arial" w:hAnsi="Arial" w:cs="Arial"/>
          <w:color w:val="303030"/>
          <w:sz w:val="27"/>
          <w:szCs w:val="27"/>
          <w:shd w:val="clear" w:color="auto" w:fill="FFFFFF"/>
        </w:rPr>
        <w:t>a</w:t>
      </w:r>
      <w:r w:rsidR="00C65C14">
        <w:rPr>
          <w:rFonts w:ascii="Arial" w:hAnsi="Arial" w:cs="Arial"/>
          <w:color w:val="303030"/>
          <w:sz w:val="27"/>
          <w:szCs w:val="27"/>
          <w:shd w:val="clear" w:color="auto" w:fill="FFFFFF"/>
        </w:rPr>
        <w:t xml:space="preserve"> dalla Camera lo scorso 9 luglio</w:t>
      </w:r>
      <w:r w:rsidR="00C65C14">
        <w:rPr>
          <w:rFonts w:ascii="Arial" w:hAnsi="Arial" w:cs="Arial"/>
          <w:color w:val="303030"/>
          <w:sz w:val="27"/>
          <w:szCs w:val="27"/>
          <w:shd w:val="clear" w:color="auto" w:fill="FFFFFF"/>
        </w:rPr>
        <w:t>. P</w:t>
      </w:r>
      <w:r w:rsidR="00C65C14">
        <w:rPr>
          <w:rFonts w:ascii="Arial" w:hAnsi="Arial" w:cs="Arial"/>
          <w:color w:val="303030"/>
          <w:sz w:val="27"/>
          <w:szCs w:val="27"/>
          <w:shd w:val="clear" w:color="auto" w:fill="FFFFFF"/>
        </w:rPr>
        <w:t>revede misure urgenti in materia di salute, sostegno al lavoro e all’economia, e politiche sociali connesse all’emergenza epidemiologica da Covid-19</w:t>
      </w:r>
      <w:r w:rsidR="00C65C14">
        <w:rPr>
          <w:rFonts w:ascii="Arial" w:hAnsi="Arial" w:cs="Arial"/>
          <w:color w:val="303030"/>
          <w:sz w:val="27"/>
          <w:szCs w:val="27"/>
          <w:shd w:val="clear" w:color="auto" w:fill="FFFFFF"/>
        </w:rPr>
        <w:t xml:space="preserve"> per un totale di 55 miliardi di euro. </w:t>
      </w:r>
      <w:r w:rsidR="00C65C14" w:rsidRPr="00C65C14">
        <w:t xml:space="preserve">Tra </w:t>
      </w:r>
      <w:r w:rsidR="00C65C14">
        <w:t xml:space="preserve">i provvedimenti </w:t>
      </w:r>
      <w:r w:rsidR="00C65C14" w:rsidRPr="00C65C14">
        <w:t xml:space="preserve">un contributo a fondo perduto per le imprese, l'esenzione del versamento Irap, super bonus per l'efficientamento energetico (ecobonus) o contro il rischio sismico (sisma bonus) con detrazione al 110%; incentivi fino a 3.500 euro per l'acquisto di auto Euro 6 e moto Euro 4 con relativa rottamazione; bonus vacanza e </w:t>
      </w:r>
      <w:r w:rsidR="00C65C14">
        <w:t xml:space="preserve">bonus per l’acquisto di </w:t>
      </w:r>
      <w:r w:rsidR="00C65C14" w:rsidRPr="00C65C14">
        <w:t>bici</w:t>
      </w:r>
      <w:r w:rsidR="00C65C14">
        <w:t xml:space="preserve">clette e monopattini elettrici e così via. </w:t>
      </w:r>
      <w:r w:rsidR="00C65C14" w:rsidRPr="00C65C14">
        <w:t xml:space="preserve"> </w:t>
      </w:r>
      <w:r w:rsidR="00C65C14">
        <w:t xml:space="preserve">Ora la prossima tappa sono i decreti attuativi. </w:t>
      </w:r>
    </w:p>
    <w:p w14:paraId="346625E8" w14:textId="7B1AD122" w:rsidR="00C65C14" w:rsidRDefault="00C65C14">
      <w:pPr>
        <w:rPr>
          <w:rFonts w:ascii="Arial" w:hAnsi="Arial" w:cs="Arial"/>
          <w:color w:val="30303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03030"/>
          <w:sz w:val="27"/>
          <w:szCs w:val="27"/>
          <w:shd w:val="clear" w:color="auto" w:fill="FFFFFF"/>
        </w:rPr>
        <w:t xml:space="preserve">QUI IL PDF </w:t>
      </w:r>
    </w:p>
    <w:p w14:paraId="4ED5F6A4" w14:textId="0B723810" w:rsidR="00D51CE7" w:rsidRDefault="00D51CE7">
      <w:pPr>
        <w:rPr>
          <w:rFonts w:ascii="Arial" w:hAnsi="Arial" w:cs="Arial"/>
          <w:color w:val="30303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03030"/>
          <w:sz w:val="27"/>
          <w:szCs w:val="27"/>
          <w:shd w:val="clear" w:color="auto" w:fill="FFFFFF"/>
        </w:rPr>
        <w:t>Startup: finanziamento di iniziative di comunicazione</w:t>
      </w:r>
    </w:p>
    <w:p w14:paraId="2E90DF20" w14:textId="77777777" w:rsidR="00340DAA" w:rsidRDefault="00340DAA">
      <w:r>
        <w:t xml:space="preserve">dopo il comma 2 è inserito il seguente: « 2-bis. Al fine di promuovere il sistema delle start-up italiane e, più in generale, le potenzialità del settore dell’impresa innovativa nell’affrontare </w:t>
      </w:r>
      <w:r>
        <w:lastRenderedPageBreak/>
        <w:t xml:space="preserve">l’emergenza derivante dal COV1D-19 e la fase di rilancio, il decreto di cui al comma 2 destina fino al 5 per cento delle risorse di cui al medesimo comma 2 al finanziamento di iniziative: </w:t>
      </w:r>
    </w:p>
    <w:p w14:paraId="71816925" w14:textId="0CAB9C1E" w:rsidR="00340DAA" w:rsidRDefault="00340DAA">
      <w:r>
        <w:t xml:space="preserve">a) di comunicazione sul sistema italiano delle start-up, con specifica attenzione alle iniziative avviate al fine di fronteggiare l’emergenza derivante dal COVID-19 e a quelle finanziate con le risorse di cui al comma 2; </w:t>
      </w:r>
    </w:p>
    <w:p w14:paraId="72202927" w14:textId="77777777" w:rsidR="00340DAA" w:rsidRDefault="00340DAA">
      <w:r>
        <w:t xml:space="preserve">b) di promozione e valorizzazione delle attività delle imprese innovative, delle start-up e del sistema di cui al comma 2, anche al fine di promuovere il raccordo tra imprese innovative e imprese tradizionali; </w:t>
      </w:r>
    </w:p>
    <w:p w14:paraId="2C5AE4EA" w14:textId="77777777" w:rsidR="00340DAA" w:rsidRDefault="00340DAA">
      <w:r>
        <w:t xml:space="preserve">c) di informazioni relative alle iniziative condotte in questo settore in attuazione di quanto stabilito ai sensi del comma 2 »; </w:t>
      </w:r>
    </w:p>
    <w:p w14:paraId="1FE314F3" w14:textId="27505B61" w:rsidR="00340DAA" w:rsidRDefault="00D51CE7">
      <w:r>
        <w:t>Finanziamenti agevolati per startup</w:t>
      </w:r>
    </w:p>
    <w:p w14:paraId="630A4784" w14:textId="77777777" w:rsidR="00340DAA" w:rsidRDefault="00340DAA">
      <w:r>
        <w:t>al comma 3 è aggiunto, in fine, il seguente periodo: « La misura massima dei finanziamenti agevolati di cui al presente comma che ciascuna start-up innovativa e piccola e media impresa innovativa può ottenere è pari a quattro volte l’importo complessivo delle risorse raccolte dalla stessa, con il limite massimo di 1 milione di euro per singolo investimento »;</w:t>
      </w:r>
    </w:p>
    <w:p w14:paraId="6F8BEF3D" w14:textId="77777777" w:rsidR="00340DAA" w:rsidRDefault="00340DAA"/>
    <w:p w14:paraId="3EBD9150" w14:textId="77777777" w:rsidR="00340DAA" w:rsidRDefault="00340DAA">
      <w:r>
        <w:t xml:space="preserve">al comma 8, capoverso 9-ter, secondo periodo, le parole: « euro 100.000 » sono sostituite dalle seguenti: « euro 300.000 » </w:t>
      </w:r>
    </w:p>
    <w:p w14:paraId="7DE7D80B" w14:textId="2A10DB76" w:rsidR="00340DAA" w:rsidRDefault="00340DAA">
      <w:r>
        <w:t xml:space="preserve">Infine, curiosità, </w:t>
      </w:r>
      <w:r>
        <w:t xml:space="preserve">la parola: « videogames » è sostituita dalla seguente: « videogiochi » </w:t>
      </w:r>
    </w:p>
    <w:sectPr w:rsidR="00340D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AA"/>
    <w:rsid w:val="00340DAA"/>
    <w:rsid w:val="0085356E"/>
    <w:rsid w:val="00B300A8"/>
    <w:rsid w:val="00C65C14"/>
    <w:rsid w:val="00D51CE7"/>
    <w:rsid w:val="00EB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ABCF"/>
  <w15:chartTrackingRefBased/>
  <w15:docId w15:val="{4CC6A5F1-589B-4297-831C-811EFDC2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00A8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300A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4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40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omyup.it/startup/decreto-rilancio-ecco-le-misure-per-startup-pmi-innovative-ed-ecosistema-dellinnovazione/" TargetMode="External"/><Relationship Id="rId13" Type="http://schemas.openxmlformats.org/officeDocument/2006/relationships/hyperlink" Target="https://www.economyup.it/innovazione/decreto-rilancio-focus-sullinnovazione-ecco-il-pdf-del-testo-in-gazzetta-ufficial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conomyup.it/startup/decreto-rilancio-ecco-le-misure-per-startup-pmi-innovative-ed-ecosistema-dellinnovazione/" TargetMode="External"/><Relationship Id="rId12" Type="http://schemas.openxmlformats.org/officeDocument/2006/relationships/hyperlink" Target="https://www.economyup.it/startup/decreto-rilancio-ecco-le-misure-per-startup-pmi-innovative-ed-ecosistema-dellinnovazio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conomyup.it/innovazione/trasferimento-tecnologico-che-cose-come-funziona-e-perche-serve-alle-startup-e-allopen-innovation/" TargetMode="External"/><Relationship Id="rId11" Type="http://schemas.openxmlformats.org/officeDocument/2006/relationships/hyperlink" Target="https://www.economyup.it/tag/decreto-rilancio/" TargetMode="External"/><Relationship Id="rId5" Type="http://schemas.openxmlformats.org/officeDocument/2006/relationships/hyperlink" Target="https://www.economyup.it/tag/venture-capita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conomyup.it/innovazione/decreto-rilancio-via-al-fondo-per-lintrattenimento-digitale-4-milioni-per-i-videogame/" TargetMode="External"/><Relationship Id="rId4" Type="http://schemas.openxmlformats.org/officeDocument/2006/relationships/hyperlink" Target="https://www.economyup.it/startup/" TargetMode="External"/><Relationship Id="rId9" Type="http://schemas.openxmlformats.org/officeDocument/2006/relationships/hyperlink" Target="https://www.economyup.it/innovazione/cosa-sta-succedendo-al-fondo-garanzia-perche-m5s-lo-finanzia-anche-gia-200-milion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Maci</dc:creator>
  <cp:keywords/>
  <dc:description/>
  <cp:lastModifiedBy>Luciana Maci</cp:lastModifiedBy>
  <cp:revision>1</cp:revision>
  <dcterms:created xsi:type="dcterms:W3CDTF">2020-07-17T11:04:00Z</dcterms:created>
  <dcterms:modified xsi:type="dcterms:W3CDTF">2020-07-17T11:29:00Z</dcterms:modified>
</cp:coreProperties>
</file>